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shd w:val="clear" w:color="auto" w:fill="EFEFEF"/>
        <w:tblCellMar>
          <w:left w:w="0" w:type="dxa"/>
          <w:right w:w="0" w:type="dxa"/>
        </w:tblCellMar>
        <w:tblLook w:val="04A0"/>
      </w:tblPr>
      <w:tblGrid>
        <w:gridCol w:w="6"/>
        <w:gridCol w:w="8994"/>
      </w:tblGrid>
      <w:tr w:rsidR="00BE3D0B" w:rsidRPr="00BE3D0B">
        <w:trPr>
          <w:jc w:val="center"/>
        </w:trPr>
        <w:tc>
          <w:tcPr>
            <w:tcW w:w="0" w:type="auto"/>
            <w:shd w:val="clear" w:color="auto" w:fill="EFEFEF"/>
            <w:tcMar>
              <w:top w:w="135" w:type="dxa"/>
              <w:left w:w="0" w:type="dxa"/>
              <w:bottom w:w="135" w:type="dxa"/>
              <w:right w:w="0" w:type="dxa"/>
            </w:tcMar>
            <w:vAlign w:val="center"/>
            <w:hideMark/>
          </w:tcPr>
          <w:p w:rsidR="00BE3D0B" w:rsidRPr="00BE3D0B" w:rsidRDefault="00BE3D0B" w:rsidP="00BE3D0B">
            <w:pPr>
              <w:spacing w:after="0" w:line="240" w:lineRule="auto"/>
              <w:rPr>
                <w:rFonts w:ascii="Times New Roman" w:eastAsia="Times New Roman" w:hAnsi="Times New Roman" w:cs="Times New Roman"/>
                <w:sz w:val="24"/>
                <w:szCs w:val="24"/>
              </w:rPr>
            </w:pPr>
          </w:p>
        </w:tc>
        <w:tc>
          <w:tcPr>
            <w:tcW w:w="5000" w:type="pct"/>
            <w:shd w:val="clear" w:color="auto" w:fill="EFEFEF"/>
            <w:tcMar>
              <w:top w:w="135" w:type="dxa"/>
              <w:left w:w="0" w:type="dxa"/>
              <w:bottom w:w="135" w:type="dxa"/>
              <w:right w:w="0" w:type="dxa"/>
            </w:tcMar>
            <w:vAlign w:val="center"/>
            <w:hideMark/>
          </w:tcPr>
          <w:tbl>
            <w:tblPr>
              <w:tblW w:w="5000" w:type="pct"/>
              <w:tblCellMar>
                <w:left w:w="0" w:type="dxa"/>
                <w:right w:w="0" w:type="dxa"/>
              </w:tblCellMar>
              <w:tblLook w:val="04A0"/>
            </w:tblPr>
            <w:tblGrid>
              <w:gridCol w:w="8994"/>
            </w:tblGrid>
            <w:tr w:rsidR="00BE3D0B" w:rsidRPr="00BE3D0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8994"/>
                  </w:tblGrid>
                  <w:tr w:rsidR="00BE3D0B" w:rsidRPr="00BE3D0B">
                    <w:tc>
                      <w:tcPr>
                        <w:tcW w:w="8775" w:type="dxa"/>
                        <w:hideMark/>
                      </w:tcPr>
                      <w:tbl>
                        <w:tblPr>
                          <w:tblpPr w:leftFromText="45" w:rightFromText="45" w:vertAnchor="text"/>
                          <w:tblW w:w="5000" w:type="pct"/>
                          <w:tblCellMar>
                            <w:left w:w="0" w:type="dxa"/>
                            <w:right w:w="0" w:type="dxa"/>
                          </w:tblCellMar>
                          <w:tblLook w:val="04A0"/>
                        </w:tblPr>
                        <w:tblGrid>
                          <w:gridCol w:w="8994"/>
                        </w:tblGrid>
                        <w:tr w:rsidR="00BE3D0B" w:rsidRPr="00BE3D0B">
                          <w:tc>
                            <w:tcPr>
                              <w:tcW w:w="0" w:type="auto"/>
                              <w:tcMar>
                                <w:top w:w="0" w:type="dxa"/>
                                <w:left w:w="270" w:type="dxa"/>
                                <w:bottom w:w="135" w:type="dxa"/>
                                <w:right w:w="270" w:type="dxa"/>
                              </w:tcMar>
                              <w:hideMark/>
                            </w:tcPr>
                            <w:p w:rsidR="00BE3D0B" w:rsidRPr="00BE3D0B" w:rsidRDefault="00BE3D0B" w:rsidP="00BE3D0B">
                              <w:pPr>
                                <w:spacing w:after="0" w:line="300" w:lineRule="auto"/>
                                <w:jc w:val="center"/>
                                <w:outlineLvl w:val="0"/>
                                <w:rPr>
                                  <w:rFonts w:ascii="Helvetica" w:eastAsia="Times New Roman" w:hAnsi="Helvetica" w:cs="Helvetica"/>
                                  <w:b/>
                                  <w:bCs/>
                                  <w:color w:val="B2B2B2"/>
                                  <w:spacing w:val="-15"/>
                                  <w:kern w:val="36"/>
                                  <w:sz w:val="45"/>
                                  <w:szCs w:val="45"/>
                                </w:rPr>
                              </w:pPr>
                              <w:r w:rsidRPr="00BE3D0B">
                                <w:rPr>
                                  <w:rFonts w:ascii="Helvetica" w:eastAsia="Times New Roman" w:hAnsi="Helvetica" w:cs="Helvetica"/>
                                  <w:b/>
                                  <w:bCs/>
                                  <w:color w:val="B2B2B2"/>
                                  <w:spacing w:val="-15"/>
                                  <w:kern w:val="36"/>
                                  <w:sz w:val="45"/>
                                  <w:szCs w:val="45"/>
                                </w:rPr>
                                <w:t>Columbia Lake Stewardship Society</w:t>
                              </w:r>
                            </w:p>
                          </w:tc>
                        </w:tr>
                      </w:tbl>
                      <w:p w:rsidR="00BE3D0B" w:rsidRPr="00BE3D0B" w:rsidRDefault="00BE3D0B" w:rsidP="00BE3D0B">
                        <w:pPr>
                          <w:spacing w:after="0" w:line="240" w:lineRule="auto"/>
                          <w:rPr>
                            <w:rFonts w:ascii="Times New Roman" w:eastAsia="Times New Roman" w:hAnsi="Times New Roman" w:cs="Times New Roman"/>
                            <w:sz w:val="24"/>
                            <w:szCs w:val="24"/>
                          </w:rPr>
                        </w:pPr>
                      </w:p>
                    </w:tc>
                  </w:tr>
                </w:tbl>
                <w:p w:rsidR="00BE3D0B" w:rsidRPr="00BE3D0B" w:rsidRDefault="00BE3D0B" w:rsidP="00BE3D0B">
                  <w:pPr>
                    <w:spacing w:after="0" w:line="240" w:lineRule="auto"/>
                    <w:rPr>
                      <w:rFonts w:ascii="Times New Roman" w:eastAsia="Times New Roman" w:hAnsi="Times New Roman" w:cs="Times New Roman"/>
                      <w:sz w:val="24"/>
                      <w:szCs w:val="24"/>
                    </w:rPr>
                  </w:pPr>
                </w:p>
              </w:tc>
            </w:tr>
          </w:tbl>
          <w:p w:rsidR="00BE3D0B" w:rsidRPr="00BE3D0B" w:rsidRDefault="00BE3D0B" w:rsidP="00BE3D0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8994"/>
            </w:tblGrid>
            <w:tr w:rsidR="00BE3D0B" w:rsidRPr="00BE3D0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8994"/>
                  </w:tblGrid>
                  <w:tr w:rsidR="00BE3D0B" w:rsidRPr="00BE3D0B">
                    <w:tc>
                      <w:tcPr>
                        <w:tcW w:w="8775" w:type="dxa"/>
                        <w:hideMark/>
                      </w:tcPr>
                      <w:tbl>
                        <w:tblPr>
                          <w:tblpPr w:leftFromText="45" w:rightFromText="45" w:vertAnchor="text"/>
                          <w:tblW w:w="5000" w:type="pct"/>
                          <w:tblCellMar>
                            <w:left w:w="0" w:type="dxa"/>
                            <w:right w:w="0" w:type="dxa"/>
                          </w:tblCellMar>
                          <w:tblLook w:val="04A0"/>
                        </w:tblPr>
                        <w:tblGrid>
                          <w:gridCol w:w="8994"/>
                        </w:tblGrid>
                        <w:tr w:rsidR="00BE3D0B" w:rsidRPr="00BE3D0B">
                          <w:tc>
                            <w:tcPr>
                              <w:tcW w:w="0" w:type="auto"/>
                              <w:tcMar>
                                <w:top w:w="0" w:type="dxa"/>
                                <w:left w:w="270" w:type="dxa"/>
                                <w:bottom w:w="135" w:type="dxa"/>
                                <w:right w:w="270" w:type="dxa"/>
                              </w:tcMar>
                              <w:hideMark/>
                            </w:tcPr>
                            <w:p w:rsidR="00BE3D0B" w:rsidRPr="00BE3D0B" w:rsidRDefault="00BE3D0B" w:rsidP="00BE3D0B">
                              <w:pPr>
                                <w:spacing w:after="0" w:line="300" w:lineRule="auto"/>
                                <w:outlineLvl w:val="0"/>
                                <w:rPr>
                                  <w:rFonts w:ascii="Helvetica" w:eastAsia="Times New Roman" w:hAnsi="Helvetica" w:cs="Helvetica"/>
                                  <w:b/>
                                  <w:bCs/>
                                  <w:color w:val="B2B2B2"/>
                                  <w:spacing w:val="-15"/>
                                  <w:kern w:val="36"/>
                                  <w:sz w:val="45"/>
                                  <w:szCs w:val="45"/>
                                </w:rPr>
                              </w:pPr>
                              <w:r>
                                <w:rPr>
                                  <w:rFonts w:ascii="Helvetica" w:eastAsia="Times New Roman" w:hAnsi="Helvetica" w:cs="Helvetica"/>
                                  <w:b/>
                                  <w:bCs/>
                                  <w:noProof/>
                                  <w:color w:val="B2B2B2"/>
                                  <w:spacing w:val="-15"/>
                                  <w:kern w:val="36"/>
                                  <w:sz w:val="45"/>
                                  <w:szCs w:val="45"/>
                                </w:rPr>
                                <w:drawing>
                                  <wp:inline distT="0" distB="0" distL="0" distR="0">
                                    <wp:extent cx="4762500" cy="3171825"/>
                                    <wp:effectExtent l="19050" t="0" r="0" b="0"/>
                                    <wp:docPr id="1" name="Picture 1" descr="https://gallery.mailchimp.com/3c4938ac72120df11b59d2db0/images/a375e234-c84d-4cda-b2f3-e93b160eeb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c4938ac72120df11b59d2db0/images/a375e234-c84d-4cda-b2f3-e93b160eeb99.jpg"/>
                                            <pic:cNvPicPr>
                                              <a:picLocks noChangeAspect="1" noChangeArrowheads="1"/>
                                            </pic:cNvPicPr>
                                          </pic:nvPicPr>
                                          <pic:blipFill>
                                            <a:blip r:embed="rId4"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tc>
                        </w:tr>
                      </w:tbl>
                      <w:p w:rsidR="00BE3D0B" w:rsidRPr="00BE3D0B" w:rsidRDefault="00BE3D0B" w:rsidP="00BE3D0B">
                        <w:pPr>
                          <w:spacing w:after="0" w:line="240" w:lineRule="auto"/>
                          <w:rPr>
                            <w:rFonts w:ascii="Times New Roman" w:eastAsia="Times New Roman" w:hAnsi="Times New Roman" w:cs="Times New Roman"/>
                            <w:sz w:val="24"/>
                            <w:szCs w:val="24"/>
                          </w:rPr>
                        </w:pPr>
                      </w:p>
                    </w:tc>
                  </w:tr>
                </w:tbl>
                <w:p w:rsidR="00BE3D0B" w:rsidRPr="00BE3D0B" w:rsidRDefault="00BE3D0B" w:rsidP="00BE3D0B">
                  <w:pPr>
                    <w:spacing w:after="0" w:line="240" w:lineRule="auto"/>
                    <w:rPr>
                      <w:rFonts w:ascii="Times New Roman" w:eastAsia="Times New Roman" w:hAnsi="Times New Roman" w:cs="Times New Roman"/>
                      <w:sz w:val="24"/>
                      <w:szCs w:val="24"/>
                    </w:rPr>
                  </w:pPr>
                </w:p>
              </w:tc>
            </w:tr>
          </w:tbl>
          <w:p w:rsidR="00BE3D0B" w:rsidRPr="00BE3D0B" w:rsidRDefault="00BE3D0B" w:rsidP="00BE3D0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8994"/>
            </w:tblGrid>
            <w:tr w:rsidR="00BE3D0B" w:rsidRPr="00BE3D0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8994"/>
                  </w:tblGrid>
                  <w:tr w:rsidR="00BE3D0B" w:rsidRPr="00BE3D0B">
                    <w:tc>
                      <w:tcPr>
                        <w:tcW w:w="8775" w:type="dxa"/>
                        <w:hideMark/>
                      </w:tcPr>
                      <w:tbl>
                        <w:tblPr>
                          <w:tblpPr w:leftFromText="45" w:rightFromText="45" w:vertAnchor="text"/>
                          <w:tblW w:w="5000" w:type="pct"/>
                          <w:tblCellMar>
                            <w:left w:w="0" w:type="dxa"/>
                            <w:right w:w="0" w:type="dxa"/>
                          </w:tblCellMar>
                          <w:tblLook w:val="04A0"/>
                        </w:tblPr>
                        <w:tblGrid>
                          <w:gridCol w:w="8994"/>
                        </w:tblGrid>
                        <w:tr w:rsidR="00BE3D0B" w:rsidRPr="00BE3D0B">
                          <w:tc>
                            <w:tcPr>
                              <w:tcW w:w="0" w:type="auto"/>
                              <w:tcMar>
                                <w:top w:w="0" w:type="dxa"/>
                                <w:left w:w="270" w:type="dxa"/>
                                <w:bottom w:w="135" w:type="dxa"/>
                                <w:right w:w="270" w:type="dxa"/>
                              </w:tcMar>
                              <w:hideMark/>
                            </w:tcPr>
                            <w:p w:rsidR="00BE3D0B" w:rsidRPr="00BE3D0B" w:rsidRDefault="00BE3D0B" w:rsidP="00BE3D0B">
                              <w:pPr>
                                <w:spacing w:after="0" w:line="300" w:lineRule="auto"/>
                                <w:outlineLvl w:val="0"/>
                                <w:rPr>
                                  <w:rFonts w:ascii="Helvetica" w:eastAsia="Times New Roman" w:hAnsi="Helvetica" w:cs="Helvetica"/>
                                  <w:b/>
                                  <w:bCs/>
                                  <w:color w:val="B2B2B2"/>
                                  <w:spacing w:val="-15"/>
                                  <w:kern w:val="36"/>
                                  <w:sz w:val="45"/>
                                  <w:szCs w:val="45"/>
                                </w:rPr>
                              </w:pPr>
                              <w:r w:rsidRPr="00BE3D0B">
                                <w:rPr>
                                  <w:rFonts w:ascii="Helvetica" w:eastAsia="Times New Roman" w:hAnsi="Helvetica" w:cs="Helvetica"/>
                                  <w:b/>
                                  <w:bCs/>
                                  <w:color w:val="B2B2B2"/>
                                  <w:spacing w:val="-15"/>
                                  <w:kern w:val="36"/>
                                  <w:sz w:val="45"/>
                                  <w:szCs w:val="45"/>
                                </w:rPr>
                                <w:t>Questions ab</w:t>
                              </w:r>
                              <w:r w:rsidR="008F1415">
                                <w:rPr>
                                  <w:rFonts w:ascii="Helvetica" w:eastAsia="Times New Roman" w:hAnsi="Helvetica" w:cs="Helvetica"/>
                                  <w:b/>
                                  <w:bCs/>
                                  <w:color w:val="B2B2B2"/>
                                  <w:spacing w:val="-15"/>
                                  <w:kern w:val="36"/>
                                  <w:sz w:val="45"/>
                                  <w:szCs w:val="45"/>
                                </w:rPr>
                                <w:t>out Pikeminnows in Columbia Lake</w:t>
                              </w:r>
                            </w:p>
                            <w:p w:rsidR="00BE3D0B" w:rsidRPr="00BE3D0B" w:rsidRDefault="00BE3D0B" w:rsidP="00BE3D0B">
                              <w:pPr>
                                <w:spacing w:after="0" w:line="360" w:lineRule="auto"/>
                                <w:rPr>
                                  <w:rFonts w:ascii="Helvetica" w:eastAsia="Times New Roman" w:hAnsi="Helvetica" w:cs="Helvetica"/>
                                  <w:color w:val="606060"/>
                                  <w:sz w:val="23"/>
                                  <w:szCs w:val="23"/>
                                </w:rPr>
                              </w:pPr>
                              <w:r w:rsidRPr="00BE3D0B">
                                <w:rPr>
                                  <w:rFonts w:ascii="Helvetica" w:eastAsia="Times New Roman" w:hAnsi="Helvetica" w:cs="Helvetica"/>
                                  <w:color w:val="606060"/>
                                  <w:sz w:val="23"/>
                                  <w:szCs w:val="23"/>
                                </w:rPr>
                                <w:br/>
                                <w:t>A Columbia Lake resident recently asked the Columbia Lake Stewardship Society (CLSS) about pikeminnows and the perceived threat to sportsfish such as trout, from the pikeminow. Internet research (Wikipedia), as well as discussions with local groups revealed the following: </w:t>
                              </w:r>
                              <w:r w:rsidRPr="00BE3D0B">
                                <w:rPr>
                                  <w:rFonts w:ascii="Helvetica" w:eastAsia="Times New Roman" w:hAnsi="Helvetica" w:cs="Helvetica"/>
                                  <w:color w:val="606060"/>
                                  <w:sz w:val="23"/>
                                  <w:szCs w:val="23"/>
                                </w:rPr>
                                <w:br/>
                              </w:r>
                              <w:r w:rsidRPr="00BE3D0B">
                                <w:rPr>
                                  <w:rFonts w:ascii="Helvetica" w:eastAsia="Times New Roman" w:hAnsi="Helvetica" w:cs="Helvetica"/>
                                  <w:color w:val="606060"/>
                                  <w:sz w:val="23"/>
                                  <w:szCs w:val="23"/>
                                </w:rPr>
                                <w:br/>
                                <w:t>The </w:t>
                              </w:r>
                              <w:r w:rsidRPr="00BE3D0B">
                                <w:rPr>
                                  <w:rFonts w:ascii="Helvetica" w:eastAsia="Times New Roman" w:hAnsi="Helvetica" w:cs="Helvetica"/>
                                  <w:b/>
                                  <w:bCs/>
                                  <w:color w:val="606060"/>
                                  <w:sz w:val="23"/>
                                </w:rPr>
                                <w:t>northern pikeminnow</w:t>
                              </w:r>
                              <w:r w:rsidRPr="00BE3D0B">
                                <w:rPr>
                                  <w:rFonts w:ascii="Helvetica" w:eastAsia="Times New Roman" w:hAnsi="Helvetica" w:cs="Helvetica"/>
                                  <w:color w:val="606060"/>
                                  <w:sz w:val="23"/>
                                  <w:szCs w:val="23"/>
                                </w:rPr>
                                <w:t> is a large member of the </w:t>
                              </w:r>
                              <w:hyperlink r:id="rId5" w:tooltip="Minnow" w:history="1">
                                <w:r w:rsidRPr="00BE3D0B">
                                  <w:rPr>
                                    <w:rFonts w:ascii="Helvetica" w:eastAsia="Times New Roman" w:hAnsi="Helvetica" w:cs="Helvetica"/>
                                    <w:color w:val="60CA2E"/>
                                    <w:sz w:val="23"/>
                                    <w:szCs w:val="23"/>
                                    <w:u w:val="single"/>
                                  </w:rPr>
                                  <w:t>minnow</w:t>
                                </w:r>
                              </w:hyperlink>
                              <w:r w:rsidRPr="00BE3D0B">
                                <w:rPr>
                                  <w:rFonts w:ascii="Helvetica" w:eastAsia="Times New Roman" w:hAnsi="Helvetica" w:cs="Helvetica"/>
                                  <w:color w:val="606060"/>
                                  <w:sz w:val="23"/>
                                  <w:szCs w:val="23"/>
                                </w:rPr>
                                <w:t> family, and until recently were commonly known as squawfish. They can live longer than 15 years, reaching over 24  inches and eight pounds. A mature female can lay 30,000 eggs annually. Pikeminnow are voracious predators, and in the </w:t>
                              </w:r>
                              <w:hyperlink r:id="rId6" w:tooltip="Columbia River" w:history="1">
                                <w:r w:rsidRPr="00BE3D0B">
                                  <w:rPr>
                                    <w:rFonts w:ascii="Helvetica" w:eastAsia="Times New Roman" w:hAnsi="Helvetica" w:cs="Helvetica"/>
                                    <w:color w:val="60CA2E"/>
                                    <w:sz w:val="23"/>
                                    <w:szCs w:val="23"/>
                                    <w:u w:val="single"/>
                                  </w:rPr>
                                  <w:t>Columbia</w:t>
                                </w:r>
                              </w:hyperlink>
                              <w:r w:rsidRPr="00BE3D0B">
                                <w:rPr>
                                  <w:rFonts w:ascii="Helvetica" w:eastAsia="Times New Roman" w:hAnsi="Helvetica" w:cs="Helvetica"/>
                                  <w:color w:val="606060"/>
                                  <w:sz w:val="23"/>
                                  <w:szCs w:val="23"/>
                                </w:rPr>
                                <w:t> and </w:t>
                              </w:r>
                              <w:hyperlink r:id="rId7" w:tooltip="Snake River" w:history="1">
                                <w:r w:rsidRPr="00BE3D0B">
                                  <w:rPr>
                                    <w:rFonts w:ascii="Helvetica" w:eastAsia="Times New Roman" w:hAnsi="Helvetica" w:cs="Helvetica"/>
                                    <w:color w:val="60CA2E"/>
                                    <w:sz w:val="23"/>
                                    <w:szCs w:val="23"/>
                                    <w:u w:val="single"/>
                                  </w:rPr>
                                  <w:t>Snake Rivers</w:t>
                                </w:r>
                              </w:hyperlink>
                              <w:r w:rsidRPr="00BE3D0B">
                                <w:rPr>
                                  <w:rFonts w:ascii="Helvetica" w:eastAsia="Times New Roman" w:hAnsi="Helvetica" w:cs="Helvetica"/>
                                  <w:color w:val="606060"/>
                                  <w:sz w:val="23"/>
                                  <w:szCs w:val="23"/>
                                </w:rPr>
                                <w:t>, </w:t>
                              </w:r>
                              <w:hyperlink r:id="rId8" w:tooltip="Salmon" w:history="1">
                                <w:r w:rsidRPr="00BE3D0B">
                                  <w:rPr>
                                    <w:rFonts w:ascii="Helvetica" w:eastAsia="Times New Roman" w:hAnsi="Helvetica" w:cs="Helvetica"/>
                                    <w:color w:val="60CA2E"/>
                                    <w:sz w:val="23"/>
                                    <w:szCs w:val="23"/>
                                    <w:u w:val="single"/>
                                  </w:rPr>
                                  <w:t>salmon</w:t>
                                </w:r>
                              </w:hyperlink>
                              <w:r w:rsidRPr="00BE3D0B">
                                <w:rPr>
                                  <w:rFonts w:ascii="Helvetica" w:eastAsia="Times New Roman" w:hAnsi="Helvetica" w:cs="Helvetica"/>
                                  <w:color w:val="606060"/>
                                  <w:sz w:val="23"/>
                                  <w:szCs w:val="23"/>
                                </w:rPr>
                                <w:t> </w:t>
                              </w:r>
                              <w:hyperlink r:id="rId9" w:tooltip="Juvenile fish" w:history="1">
                                <w:r w:rsidRPr="00BE3D0B">
                                  <w:rPr>
                                    <w:rFonts w:ascii="Helvetica" w:eastAsia="Times New Roman" w:hAnsi="Helvetica" w:cs="Helvetica"/>
                                    <w:color w:val="60CA2E"/>
                                    <w:sz w:val="23"/>
                                    <w:szCs w:val="23"/>
                                    <w:u w:val="single"/>
                                  </w:rPr>
                                  <w:t>smolts</w:t>
                                </w:r>
                              </w:hyperlink>
                              <w:r w:rsidRPr="00BE3D0B">
                                <w:rPr>
                                  <w:rFonts w:ascii="Helvetica" w:eastAsia="Times New Roman" w:hAnsi="Helvetica" w:cs="Helvetica"/>
                                  <w:color w:val="606060"/>
                                  <w:sz w:val="23"/>
                                  <w:szCs w:val="23"/>
                                </w:rPr>
                                <w:t xml:space="preserve"> comprise a large part of their diets. Their populations have flourished with the development of the Columbia River hydropower system. The </w:t>
                              </w:r>
                              <w:r w:rsidRPr="00BE3D0B">
                                <w:rPr>
                                  <w:rFonts w:ascii="Helvetica" w:eastAsia="Times New Roman" w:hAnsi="Helvetica" w:cs="Helvetica"/>
                                  <w:color w:val="606060"/>
                                  <w:sz w:val="23"/>
                                  <w:szCs w:val="23"/>
                                </w:rPr>
                                <w:lastRenderedPageBreak/>
                                <w:t>reservoirs have provided excellent habitat for pikeminnow and given them an advantage over depressed </w:t>
                              </w:r>
                              <w:hyperlink r:id="rId10" w:tooltip="Salmon" w:history="1">
                                <w:r w:rsidRPr="00BE3D0B">
                                  <w:rPr>
                                    <w:rFonts w:ascii="Helvetica" w:eastAsia="Times New Roman" w:hAnsi="Helvetica" w:cs="Helvetica"/>
                                    <w:color w:val="60CA2E"/>
                                    <w:sz w:val="23"/>
                                    <w:szCs w:val="23"/>
                                    <w:u w:val="single"/>
                                  </w:rPr>
                                  <w:t>salmon</w:t>
                                </w:r>
                              </w:hyperlink>
                              <w:r w:rsidRPr="00BE3D0B">
                                <w:rPr>
                                  <w:rFonts w:ascii="Helvetica" w:eastAsia="Times New Roman" w:hAnsi="Helvetica" w:cs="Helvetica"/>
                                  <w:color w:val="606060"/>
                                  <w:sz w:val="23"/>
                                  <w:szCs w:val="23"/>
                                </w:rPr>
                                <w:t> and </w:t>
                              </w:r>
                              <w:hyperlink r:id="rId11" w:tooltip="Rainbow trout" w:history="1">
                                <w:r w:rsidRPr="00BE3D0B">
                                  <w:rPr>
                                    <w:rFonts w:ascii="Helvetica" w:eastAsia="Times New Roman" w:hAnsi="Helvetica" w:cs="Helvetica"/>
                                    <w:color w:val="60CA2E"/>
                                    <w:sz w:val="23"/>
                                    <w:szCs w:val="23"/>
                                    <w:u w:val="single"/>
                                  </w:rPr>
                                  <w:t>steelhead</w:t>
                                </w:r>
                              </w:hyperlink>
                              <w:r w:rsidRPr="00BE3D0B">
                                <w:rPr>
                                  <w:rFonts w:ascii="Helvetica" w:eastAsia="Times New Roman" w:hAnsi="Helvetica" w:cs="Helvetica"/>
                                  <w:color w:val="606060"/>
                                  <w:sz w:val="23"/>
                                  <w:szCs w:val="23"/>
                                </w:rPr>
                                <w:t> populations. While historically pikeminnow have not been of interest commercially nor to sport anglers, Washington and Oregon state fisheries agencies and the </w:t>
                              </w:r>
                              <w:hyperlink r:id="rId12" w:tooltip="Bonneville Power Administration" w:history="1">
                                <w:r w:rsidRPr="00BE3D0B">
                                  <w:rPr>
                                    <w:rFonts w:ascii="Helvetica" w:eastAsia="Times New Roman" w:hAnsi="Helvetica" w:cs="Helvetica"/>
                                    <w:color w:val="60CA2E"/>
                                    <w:sz w:val="23"/>
                                    <w:szCs w:val="23"/>
                                    <w:u w:val="single"/>
                                  </w:rPr>
                                  <w:t>Bonneville Power Administration</w:t>
                                </w:r>
                              </w:hyperlink>
                              <w:r w:rsidRPr="00BE3D0B">
                                <w:rPr>
                                  <w:rFonts w:ascii="Helvetica" w:eastAsia="Times New Roman" w:hAnsi="Helvetica" w:cs="Helvetica"/>
                                  <w:color w:val="606060"/>
                                  <w:sz w:val="23"/>
                                  <w:szCs w:val="23"/>
                                </w:rPr>
                                <w:t> have placed a </w:t>
                              </w:r>
                              <w:hyperlink r:id="rId13" w:tooltip="Bounty (reward)" w:history="1">
                                <w:r w:rsidRPr="00BE3D0B">
                                  <w:rPr>
                                    <w:rFonts w:ascii="Helvetica" w:eastAsia="Times New Roman" w:hAnsi="Helvetica" w:cs="Helvetica"/>
                                    <w:color w:val="60CA2E"/>
                                    <w:sz w:val="23"/>
                                    <w:szCs w:val="23"/>
                                    <w:u w:val="single"/>
                                  </w:rPr>
                                  <w:t>bounty</w:t>
                                </w:r>
                              </w:hyperlink>
                              <w:r w:rsidRPr="00BE3D0B">
                                <w:rPr>
                                  <w:rFonts w:ascii="Helvetica" w:eastAsia="Times New Roman" w:hAnsi="Helvetica" w:cs="Helvetica"/>
                                  <w:color w:val="606060"/>
                                  <w:sz w:val="23"/>
                                  <w:szCs w:val="23"/>
                                </w:rPr>
                                <w:t> on them to reduce predation on scarce salmon stocks.</w:t>
                              </w:r>
                              <w:r w:rsidRPr="00BE3D0B">
                                <w:rPr>
                                  <w:rFonts w:ascii="Helvetica" w:eastAsia="Times New Roman" w:hAnsi="Helvetica" w:cs="Helvetica"/>
                                  <w:color w:val="606060"/>
                                  <w:sz w:val="23"/>
                                  <w:szCs w:val="23"/>
                                </w:rPr>
                                <w:br/>
                              </w:r>
                              <w:r w:rsidRPr="00BE3D0B">
                                <w:rPr>
                                  <w:rFonts w:ascii="Helvetica" w:eastAsia="Times New Roman" w:hAnsi="Helvetica" w:cs="Helvetica"/>
                                  <w:color w:val="606060"/>
                                  <w:sz w:val="23"/>
                                  <w:szCs w:val="23"/>
                                </w:rPr>
                                <w:br/>
                                <w:t xml:space="preserve">The CLSS contacted the Canal Flats Wilderness club, the Windermere Rod and Gun Club and the BC Government, Fish and Wildlife department to gain more information. Input from these sources confirmed that the northern pikeminnow is native to Columbia Lake and as such has a place in the natural system. One source cited poor decisions and management of traditional game fish as the reason for apparent game fish decline. A Fisheries Biologist also confirmed that the Province does not control native species, and has not for over thirty years. </w:t>
                              </w:r>
                            </w:p>
                            <w:p w:rsidR="00BE3D0B" w:rsidRPr="00BE3D0B" w:rsidRDefault="00BE3D0B" w:rsidP="00BE3D0B">
                              <w:pPr>
                                <w:spacing w:after="160" w:line="360" w:lineRule="auto"/>
                                <w:rPr>
                                  <w:rFonts w:ascii="Helvetica" w:eastAsia="Times New Roman" w:hAnsi="Helvetica" w:cs="Helvetica"/>
                                  <w:color w:val="606060"/>
                                  <w:sz w:val="23"/>
                                  <w:szCs w:val="23"/>
                                </w:rPr>
                              </w:pPr>
                              <w:r w:rsidRPr="00BE3D0B">
                                <w:rPr>
                                  <w:rFonts w:ascii="Helvetica" w:eastAsia="Times New Roman" w:hAnsi="Helvetica" w:cs="Helvetica"/>
                                  <w:color w:val="606060"/>
                                  <w:sz w:val="23"/>
                                  <w:szCs w:val="23"/>
                                </w:rPr>
                                <w:br/>
                                <w:t>It is interesting to note the difference in management practices related to the pikeminnow on either side of the border!</w:t>
                              </w:r>
                              <w:r w:rsidRPr="00BE3D0B">
                                <w:rPr>
                                  <w:rFonts w:ascii="Helvetica" w:eastAsia="Times New Roman" w:hAnsi="Helvetica" w:cs="Helvetica"/>
                                  <w:color w:val="606060"/>
                                  <w:sz w:val="23"/>
                                  <w:szCs w:val="23"/>
                                </w:rPr>
                                <w:br/>
                                <w:t> </w:t>
                              </w:r>
                            </w:p>
                            <w:p w:rsidR="00BE3D0B" w:rsidRPr="00BE3D0B" w:rsidRDefault="00BE3D0B" w:rsidP="00BE3D0B">
                              <w:pPr>
                                <w:spacing w:after="0" w:line="360" w:lineRule="auto"/>
                                <w:rPr>
                                  <w:rFonts w:ascii="Helvetica" w:eastAsia="Times New Roman" w:hAnsi="Helvetica" w:cs="Helvetica"/>
                                  <w:color w:val="606060"/>
                                  <w:sz w:val="23"/>
                                  <w:szCs w:val="23"/>
                                </w:rPr>
                              </w:pPr>
                              <w:r w:rsidRPr="00BE3D0B">
                                <w:rPr>
                                  <w:rFonts w:ascii="Helvetica" w:eastAsia="Times New Roman" w:hAnsi="Helvetica" w:cs="Helvetica"/>
                                  <w:color w:val="606060"/>
                                  <w:sz w:val="23"/>
                                  <w:szCs w:val="23"/>
                                </w:rPr>
                                <w:t> Please continue to contact us with any concerns or questions related to Columbia Lake. If we don’t have the answer, we’ll try to help you find it. Our email is ColumbiaLakeSS@shaw.ca</w:t>
                              </w:r>
                              <w:bookmarkStart w:id="0" w:name="_GoBack"/>
                              <w:bookmarkEnd w:id="0"/>
                              <w:r w:rsidRPr="00BE3D0B">
                                <w:rPr>
                                  <w:rFonts w:ascii="Helvetica" w:eastAsia="Times New Roman" w:hAnsi="Helvetica" w:cs="Helvetica"/>
                                  <w:color w:val="606060"/>
                                  <w:sz w:val="23"/>
                                  <w:szCs w:val="23"/>
                                </w:rPr>
                                <w:br/>
                              </w:r>
                              <w:r w:rsidRPr="00BE3D0B">
                                <w:rPr>
                                  <w:rFonts w:ascii="Helvetica" w:eastAsia="Times New Roman" w:hAnsi="Helvetica" w:cs="Helvetica"/>
                                  <w:color w:val="606060"/>
                                  <w:sz w:val="23"/>
                                  <w:szCs w:val="23"/>
                                </w:rPr>
                                <w:br/>
                                <w:t xml:space="preserve">You can learn more about Columbia Lake and the work of Columbia Lake Stewardship Society at our website: </w:t>
                              </w:r>
                              <w:hyperlink r:id="rId14" w:history="1">
                                <w:r w:rsidRPr="00BE3D0B">
                                  <w:rPr>
                                    <w:rFonts w:ascii="Helvetica" w:eastAsia="Times New Roman" w:hAnsi="Helvetica" w:cs="Helvetica"/>
                                    <w:color w:val="60CA2E"/>
                                    <w:sz w:val="23"/>
                                    <w:szCs w:val="23"/>
                                    <w:u w:val="single"/>
                                  </w:rPr>
                                  <w:t>www.ColumbiaLakeSS.com</w:t>
                                </w:r>
                              </w:hyperlink>
                            </w:p>
                          </w:tc>
                        </w:tr>
                      </w:tbl>
                      <w:p w:rsidR="00BE3D0B" w:rsidRPr="00BE3D0B" w:rsidRDefault="00BE3D0B" w:rsidP="00BE3D0B">
                        <w:pPr>
                          <w:spacing w:after="0" w:line="240" w:lineRule="auto"/>
                          <w:rPr>
                            <w:rFonts w:ascii="Times New Roman" w:eastAsia="Times New Roman" w:hAnsi="Times New Roman" w:cs="Times New Roman"/>
                            <w:sz w:val="24"/>
                            <w:szCs w:val="24"/>
                          </w:rPr>
                        </w:pPr>
                      </w:p>
                    </w:tc>
                  </w:tr>
                </w:tbl>
                <w:p w:rsidR="00BE3D0B" w:rsidRPr="00BE3D0B" w:rsidRDefault="00BE3D0B" w:rsidP="00BE3D0B">
                  <w:pPr>
                    <w:spacing w:after="0" w:line="240" w:lineRule="auto"/>
                    <w:rPr>
                      <w:rFonts w:ascii="Times New Roman" w:eastAsia="Times New Roman" w:hAnsi="Times New Roman" w:cs="Times New Roman"/>
                      <w:sz w:val="24"/>
                      <w:szCs w:val="24"/>
                    </w:rPr>
                  </w:pPr>
                </w:p>
              </w:tc>
            </w:tr>
          </w:tbl>
          <w:p w:rsidR="00BE3D0B" w:rsidRPr="00BE3D0B" w:rsidRDefault="00BE3D0B" w:rsidP="00BE3D0B">
            <w:pPr>
              <w:spacing w:after="0" w:line="240" w:lineRule="auto"/>
              <w:rPr>
                <w:rFonts w:ascii="Times New Roman" w:eastAsia="Times New Roman" w:hAnsi="Times New Roman" w:cs="Times New Roman"/>
                <w:sz w:val="24"/>
                <w:szCs w:val="24"/>
              </w:rPr>
            </w:pPr>
          </w:p>
        </w:tc>
      </w:tr>
    </w:tbl>
    <w:p w:rsidR="000712E5" w:rsidRDefault="000712E5"/>
    <w:sectPr w:rsidR="000712E5" w:rsidSect="00071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3D0B"/>
    <w:rsid w:val="000712E5"/>
    <w:rsid w:val="008F1415"/>
    <w:rsid w:val="00BE3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E5"/>
  </w:style>
  <w:style w:type="paragraph" w:styleId="Heading1">
    <w:name w:val="heading 1"/>
    <w:basedOn w:val="Normal"/>
    <w:link w:val="Heading1Char"/>
    <w:uiPriority w:val="9"/>
    <w:qFormat/>
    <w:rsid w:val="00BE3D0B"/>
    <w:pPr>
      <w:spacing w:after="0" w:line="300" w:lineRule="auto"/>
      <w:outlineLvl w:val="0"/>
    </w:pPr>
    <w:rPr>
      <w:rFonts w:ascii="Helvetica" w:eastAsia="Times New Roman" w:hAnsi="Helvetica" w:cs="Helvetica"/>
      <w:b/>
      <w:bCs/>
      <w:color w:val="B2B2B2"/>
      <w:spacing w:val="-15"/>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D0B"/>
    <w:rPr>
      <w:rFonts w:ascii="Helvetica" w:eastAsia="Times New Roman" w:hAnsi="Helvetica" w:cs="Helvetica"/>
      <w:b/>
      <w:bCs/>
      <w:color w:val="B2B2B2"/>
      <w:spacing w:val="-15"/>
      <w:kern w:val="36"/>
      <w:sz w:val="45"/>
      <w:szCs w:val="45"/>
    </w:rPr>
  </w:style>
  <w:style w:type="character" w:styleId="Strong">
    <w:name w:val="Strong"/>
    <w:basedOn w:val="DefaultParagraphFont"/>
    <w:uiPriority w:val="22"/>
    <w:qFormat/>
    <w:rsid w:val="00BE3D0B"/>
    <w:rPr>
      <w:b/>
      <w:bCs/>
    </w:rPr>
  </w:style>
  <w:style w:type="paragraph" w:styleId="BalloonText">
    <w:name w:val="Balloon Text"/>
    <w:basedOn w:val="Normal"/>
    <w:link w:val="BalloonTextChar"/>
    <w:uiPriority w:val="99"/>
    <w:semiHidden/>
    <w:unhideWhenUsed/>
    <w:rsid w:val="00BE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ite.us14.list-manage.com/track/click?u=3c4938ac72120df11b59d2db0&amp;id=c5c4f6ed84&amp;e=f238898723" TargetMode="External"/><Relationship Id="rId13" Type="http://schemas.openxmlformats.org/officeDocument/2006/relationships/hyperlink" Target="https://website.us14.list-manage.com/track/click?u=3c4938ac72120df11b59d2db0&amp;id=9ef12aa0c9&amp;e=f238898723" TargetMode="External"/><Relationship Id="rId3" Type="http://schemas.openxmlformats.org/officeDocument/2006/relationships/webSettings" Target="webSettings.xml"/><Relationship Id="rId7" Type="http://schemas.openxmlformats.org/officeDocument/2006/relationships/hyperlink" Target="https://website.us14.list-manage.com/track/click?u=3c4938ac72120df11b59d2db0&amp;id=fd524bde44&amp;e=f238898723" TargetMode="External"/><Relationship Id="rId12" Type="http://schemas.openxmlformats.org/officeDocument/2006/relationships/hyperlink" Target="https://website.us14.list-manage.com/track/click?u=3c4938ac72120df11b59d2db0&amp;id=30fa298470&amp;e=f23889872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bsite.us14.list-manage.com/track/click?u=3c4938ac72120df11b59d2db0&amp;id=917044bd18&amp;e=f238898723" TargetMode="External"/><Relationship Id="rId11" Type="http://schemas.openxmlformats.org/officeDocument/2006/relationships/hyperlink" Target="https://website.us14.list-manage.com/track/click?u=3c4938ac72120df11b59d2db0&amp;id=c9a3704270&amp;e=f238898723" TargetMode="External"/><Relationship Id="rId5" Type="http://schemas.openxmlformats.org/officeDocument/2006/relationships/hyperlink" Target="https://website.us14.list-manage.com/track/click?u=3c4938ac72120df11b59d2db0&amp;id=8cbda43f6c&amp;e=f238898723" TargetMode="External"/><Relationship Id="rId15" Type="http://schemas.openxmlformats.org/officeDocument/2006/relationships/fontTable" Target="fontTable.xml"/><Relationship Id="rId10" Type="http://schemas.openxmlformats.org/officeDocument/2006/relationships/hyperlink" Target="https://website.us14.list-manage.com/track/click?u=3c4938ac72120df11b59d2db0&amp;id=20c354f64f&amp;e=f238898723" TargetMode="External"/><Relationship Id="rId4" Type="http://schemas.openxmlformats.org/officeDocument/2006/relationships/image" Target="media/image1.jpeg"/><Relationship Id="rId9" Type="http://schemas.openxmlformats.org/officeDocument/2006/relationships/hyperlink" Target="https://website.us14.list-manage.com/track/click?u=3c4938ac72120df11b59d2db0&amp;id=fc010b6560&amp;e=f238898723" TargetMode="External"/><Relationship Id="rId14" Type="http://schemas.openxmlformats.org/officeDocument/2006/relationships/hyperlink" Target="https://website.us14.list-manage.com/track/click?u=3c4938ac72120df11b59d2db0&amp;id=9aac0a0d32&amp;e=f238898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3</cp:revision>
  <dcterms:created xsi:type="dcterms:W3CDTF">2018-03-15T01:27:00Z</dcterms:created>
  <dcterms:modified xsi:type="dcterms:W3CDTF">2018-03-15T01:29:00Z</dcterms:modified>
</cp:coreProperties>
</file>